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/>
        <w:ind w:firstLine="470" w:left="34"/>
        <w:jc w:val="right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ПРОЄКТ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</w:r>
    </w:p>
    <w:p>
      <w:pPr>
        <w:pBdr/>
        <w:shd w:val="clear" w:color="auto" w:fill="ffffff"/>
        <w:spacing/>
        <w:ind w:firstLine="470" w:left="34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Звіт про виконання регіональної програми за 2024 рік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</w:r>
    </w:p>
    <w:tbl>
      <w:tblPr>
        <w:tblW w:w="15309" w:type="dxa"/>
        <w:tblInd w:w="108" w:type="dxa"/>
        <w:tblBorders/>
        <w:tblLook w:val="01E0" w:firstRow="1" w:lastRow="1" w:firstColumn="1" w:lastColumn="1" w:noHBand="0" w:noVBand="0"/>
      </w:tblPr>
      <w:tblGrid>
        <w:gridCol w:w="720"/>
        <w:gridCol w:w="1440"/>
        <w:gridCol w:w="13149"/>
      </w:tblGrid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1.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Департамент з питань цивільного захисту та оборонної роботи облдержадміністрації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КВКВ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найменування головного розпорядника коштів програми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2.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Департамент з питань цивільного захисту та оборонної роботи облдержадміністрації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КВКВ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найменування відповідального виконавця програми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3.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/>
            <w:bookmarkStart w:id="0" w:name="_Hlk156206207"/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Програми забезпечення безпеки та стійкості критичної інфраструктури Чернігівської області на 2023-2024 рок</w:t>
            </w:r>
            <w:bookmarkEnd w:id="0"/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затверджена розпорядженням начальника Чернігівської обласної  військової адміністрації 15 червня 2023 року № 366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КВКВ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найменування програми, дата і номер рішення обласної ради про її затвердження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</w:tbl>
    <w:p>
      <w:pPr>
        <w:pBdr/>
        <w:shd w:val="clear" w:color="auto" w:fill="ffffff"/>
        <w:spacing/>
        <w:ind w:firstLine="470" w:left="34"/>
        <w:jc w:val="center"/>
        <w:rPr>
          <w:rFonts w:ascii="Times New Roman" w:hAnsi="Times New Roman"/>
          <w:color w:val="auto"/>
          <w:sz w:val="16"/>
          <w:szCs w:val="16"/>
          <w:lang w:val="uk-UA"/>
        </w:rPr>
      </w:pPr>
      <w:r>
        <w:rPr>
          <w:rFonts w:ascii="Times New Roman" w:hAnsi="Times New Roman"/>
          <w:color w:val="auto"/>
          <w:sz w:val="16"/>
          <w:szCs w:val="16"/>
          <w:lang w:val="uk-UA"/>
        </w:rPr>
      </w:r>
      <w:r>
        <w:rPr>
          <w:rFonts w:ascii="Times New Roman" w:hAnsi="Times New Roman"/>
          <w:color w:val="auto"/>
          <w:sz w:val="16"/>
          <w:szCs w:val="16"/>
          <w:lang w:val="uk-UA"/>
        </w:rPr>
      </w:r>
    </w:p>
    <w:p>
      <w:pPr>
        <w:pBdr/>
        <w:shd w:val="clear" w:color="auto" w:fill="ffffff"/>
        <w:tabs>
          <w:tab w:val="left" w:leader="none" w:pos="3686"/>
        </w:tabs>
        <w:spacing/>
        <w:ind w:firstLine="146" w:left="34"/>
        <w:jc w:val="both"/>
        <w:rPr>
          <w:rFonts w:ascii="Times New Roman" w:hAnsi="Times New Roman"/>
          <w:color w:val="auto"/>
          <w:szCs w:val="24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color w:val="auto"/>
          <w:szCs w:val="24"/>
          <w:lang w:val="uk-UA"/>
        </w:rPr>
        <w:t xml:space="preserve">Напрями діяльності та заходи регіональної цільової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Програми</w:t>
      </w:r>
      <w:r>
        <w:rPr>
          <w:rFonts w:ascii="Times New Roman" w:hAnsi="Times New Roman"/>
          <w:color w:val="auto"/>
          <w:szCs w:val="24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забезпечення безпеки та стійкості критичної інфраструктури Чернігівської області на 2023-2024 роки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color w:val="auto"/>
          <w:szCs w:val="24"/>
          <w:lang w:val="uk-UA"/>
        </w:rPr>
        <w:t xml:space="preserve">____________________________________________________________</w:t>
      </w:r>
      <w:r>
        <w:rPr>
          <w:rFonts w:ascii="Times New Roman" w:hAnsi="Times New Roman"/>
          <w:color w:val="auto"/>
          <w:szCs w:val="24"/>
          <w:lang w:val="ru-RU"/>
        </w:rPr>
        <w:t xml:space="preserve">_________________________</w:t>
      </w:r>
      <w:r>
        <w:rPr>
          <w:rFonts w:ascii="Times New Roman" w:hAnsi="Times New Roman"/>
          <w:color w:val="auto"/>
          <w:szCs w:val="24"/>
          <w:lang w:val="ru-RU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  <w:t xml:space="preserve">                       </w:t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  <w:t xml:space="preserve">        (назва програми)</w:t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 w:val="16"/>
          <w:szCs w:val="16"/>
          <w:lang w:val="uk-UA"/>
        </w:rPr>
      </w:pPr>
      <w:r>
        <w:rPr>
          <w:rFonts w:ascii="Times New Roman" w:hAnsi="Times New Roman"/>
          <w:color w:val="auto"/>
          <w:sz w:val="16"/>
          <w:szCs w:val="16"/>
          <w:lang w:val="uk-UA"/>
        </w:rPr>
      </w:r>
      <w:r>
        <w:rPr>
          <w:rFonts w:ascii="Times New Roman" w:hAnsi="Times New Roman"/>
          <w:color w:val="auto"/>
          <w:sz w:val="16"/>
          <w:szCs w:val="16"/>
          <w:lang w:val="uk-UA"/>
        </w:rPr>
      </w:r>
    </w:p>
    <w:tbl>
      <w:tblPr>
        <w:tblW w:w="155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738"/>
        <w:gridCol w:w="1409"/>
        <w:gridCol w:w="841"/>
        <w:gridCol w:w="6"/>
        <w:gridCol w:w="564"/>
        <w:gridCol w:w="14"/>
        <w:gridCol w:w="1081"/>
        <w:gridCol w:w="6"/>
        <w:gridCol w:w="1374"/>
        <w:gridCol w:w="12"/>
        <w:gridCol w:w="708"/>
        <w:gridCol w:w="6"/>
        <w:gridCol w:w="776"/>
        <w:gridCol w:w="6"/>
        <w:gridCol w:w="669"/>
        <w:gridCol w:w="6"/>
        <w:gridCol w:w="534"/>
        <w:gridCol w:w="12"/>
        <w:gridCol w:w="1114"/>
        <w:gridCol w:w="6"/>
        <w:gridCol w:w="1407"/>
        <w:gridCol w:w="6"/>
        <w:gridCol w:w="624"/>
        <w:gridCol w:w="6"/>
        <w:gridCol w:w="610"/>
        <w:gridCol w:w="6"/>
        <w:gridCol w:w="1522"/>
      </w:tblGrid>
      <w:tr>
        <w:trPr/>
        <w:tc>
          <w:tcPr>
            <w:tcBorders/>
            <w:tcW w:w="53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№ з/п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Захід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0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Головний виконавець та строк виконання заходу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2"/>
            <w:tcBorders/>
            <w:tcW w:w="5394" w:type="dxa"/>
            <w:textDirection w:val="lrTb"/>
            <w:noWrap w:val="false"/>
          </w:tcPr>
          <w:p>
            <w:pPr>
              <w:pBdr/>
              <w:spacing/>
              <w:ind w:right="-113" w:left="-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Бюджетні асигнування з урахуванням змін, тис. грн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2"/>
            <w:tcBorders/>
            <w:tcW w:w="500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Проведені видатки, тис. грн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522" w:type="dxa"/>
            <w:vMerge w:val="restart"/>
            <w:textDirection w:val="lrTb"/>
            <w:noWrap w:val="false"/>
          </w:tcPr>
          <w:p>
            <w:pPr>
              <w:pBdr/>
              <w:spacing/>
              <w:ind w:right="-120" w:left="-108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Стан виконання заходів (результативні показники виконання програми)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trHeight w:val="0"/>
        </w:trPr>
        <w:tc>
          <w:tcPr>
            <w:tcBorders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0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847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0"/>
            <w:tcBorders/>
            <w:tcW w:w="45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 тому числі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75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0"/>
            <w:tcBorders/>
            <w:tcW w:w="432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 тому числі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52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cantSplit/>
          <w:trHeight w:val="2990"/>
        </w:trPr>
        <w:tc>
          <w:tcPr>
            <w:tcBorders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0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84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57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обласний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08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районний, міський (міст обласного підпорядкування) бюджети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38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т.ч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. об’єднаних територіальних громад)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14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кошти небюджетних джерел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8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довідково: державний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75" w:type="dxa"/>
            <w:vAlign w:val="center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54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обласний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12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районний, міський (міст обласного підпорядкування) бюджети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413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т.ч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. об’єднаних територіальних громад)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3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кошти небюджетних джерел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1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довідково: державний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52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cantSplit/>
          <w:trHeight w:val="1691"/>
        </w:trPr>
        <w:tc>
          <w:tcPr>
            <w:tcBorders/>
            <w:tcW w:w="5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textDirection w:val="lrTb"/>
            <w:noWrap w:val="false"/>
          </w:tcPr>
          <w:p>
            <w:pPr>
              <w:pStyle w:val="637"/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/>
            <w:tcW w:w="14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Департа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-мент з питань ЦЗ та ОР ОДА,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841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570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095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380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20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82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75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540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126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413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30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16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528" w:type="dxa"/>
            <w:textDirection w:val="lrTb"/>
            <w:noWrap w:val="false"/>
          </w:tcPr>
          <w:p>
            <w:pPr>
              <w:pBdr/>
              <w:spacing/>
              <w:ind w:right="-112" w:left="3"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 2024 році не передбачалося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фінансуван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-ня заходів Програми з обласного бюджету.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</w:tbl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  <w:t xml:space="preserve">5. Аналіз виконання за видатками в цілому за програмою:</w:t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right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  <w:t xml:space="preserve">тис. грн.</w:t>
      </w:r>
      <w:r>
        <w:rPr>
          <w:rFonts w:ascii="Times New Roman" w:hAnsi="Times New Roman"/>
          <w:color w:val="auto"/>
          <w:szCs w:val="24"/>
          <w:lang w:val="uk-UA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97"/>
        <w:gridCol w:w="1706"/>
        <w:gridCol w:w="1717"/>
        <w:gridCol w:w="1697"/>
        <w:gridCol w:w="1706"/>
        <w:gridCol w:w="1718"/>
        <w:gridCol w:w="1689"/>
        <w:gridCol w:w="1706"/>
        <w:gridCol w:w="1718"/>
      </w:tblGrid>
      <w:tr>
        <w:trPr/>
        <w:tc>
          <w:tcPr>
            <w:gridSpan w:val="3"/>
            <w:tcBorders/>
            <w:tcW w:w="51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Бюджетні асигнування з урахуванням змін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3"/>
            <w:tcBorders/>
            <w:tcW w:w="512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Проведені видатки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3"/>
            <w:tcBorders/>
            <w:tcW w:w="5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Відхилення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trHeight w:val="720"/>
        </w:trPr>
        <w:tc>
          <w:tcPr>
            <w:tcBorders/>
            <w:tcW w:w="16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загальний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спеціальний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загальний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спеціальний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загальний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спеціальний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trHeight w:val="231"/>
        </w:trPr>
        <w:tc>
          <w:tcPr>
            <w:tcBorders/>
            <w:tcW w:w="16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</w:tbl>
    <w:p>
      <w:pPr>
        <w:pBdr/>
        <w:spacing/>
        <w:ind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</w:r>
      <w:r>
        <w:rPr>
          <w:rFonts w:ascii="Calibri" w:hAnsi="Calibri"/>
          <w:lang w:val="uk-UA"/>
        </w:rPr>
      </w:r>
    </w:p>
    <w:p>
      <w:pPr>
        <w:pBdr/>
        <w:spacing/>
        <w:ind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</w:r>
      <w:r>
        <w:rPr>
          <w:rFonts w:ascii="Calibri" w:hAnsi="Calibri"/>
          <w:lang w:val="uk-UA"/>
        </w:rPr>
      </w:r>
    </w:p>
    <w:p>
      <w:pPr>
        <w:pBdr/>
        <w:spacing/>
        <w:ind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</w:r>
      <w:r>
        <w:rPr>
          <w:rFonts w:ascii="Calibri" w:hAnsi="Calibri"/>
          <w:lang w:val="uk-UA"/>
        </w:rPr>
      </w:r>
    </w:p>
    <w:p>
      <w:pPr>
        <w:pBdr/>
        <w:spacing/>
        <w:ind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</w:r>
      <w:r>
        <w:rPr>
          <w:rFonts w:ascii="Calibri" w:hAnsi="Calibri"/>
          <w:lang w:val="ru-RU"/>
        </w:rPr>
      </w:r>
    </w:p>
    <w:p>
      <w:pPr>
        <w:pBdr/>
        <w:spacing/>
        <w:ind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</w:r>
      <w:r>
        <w:rPr>
          <w:rFonts w:ascii="Calibri" w:hAnsi="Calibri"/>
          <w:lang w:val="uk-UA"/>
        </w:rPr>
      </w:r>
    </w:p>
    <w:p>
      <w:pPr>
        <w:pBdr/>
        <w:spacing/>
        <w:ind/>
        <w:rPr>
          <w:rFonts w:ascii="Times New Roman" w:hAnsi="Times New Roman"/>
          <w:szCs w:val="24"/>
          <w:lang w:val="uk-UA" w:eastAsia="en-US"/>
        </w:rPr>
      </w:pPr>
      <w:r>
        <w:rPr>
          <w:rFonts w:ascii="Times New Roman" w:hAnsi="Times New Roman"/>
          <w:szCs w:val="24"/>
          <w:lang w:val="uk-UA" w:eastAsia="en-US"/>
        </w:rPr>
      </w:r>
      <w:r>
        <w:rPr>
          <w:rFonts w:ascii="Times New Roman" w:hAnsi="Times New Roman"/>
          <w:szCs w:val="24"/>
          <w:lang w:val="uk-UA" w:eastAsia="en-US"/>
        </w:rPr>
      </w:r>
    </w:p>
    <w:p>
      <w:pPr>
        <w:pBdr/>
        <w:spacing/>
        <w:ind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</w:r>
      <w:r>
        <w:rPr>
          <w:rFonts w:ascii="Calibri" w:hAnsi="Calibri"/>
          <w:lang w:val="uk-UA"/>
        </w:rPr>
      </w:r>
    </w:p>
    <w:p>
      <w:pPr>
        <w:pBdr/>
        <w:spacing/>
        <w:ind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</w:r>
      <w:r>
        <w:rPr>
          <w:rFonts w:ascii="Calibri" w:hAnsi="Calibri"/>
          <w:lang w:val="uk-UA"/>
        </w:rPr>
      </w:r>
    </w:p>
    <w:p>
      <w:pPr>
        <w:pBdr/>
        <w:spacing/>
        <w:ind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</w:r>
      <w:r>
        <w:rPr>
          <w:rFonts w:ascii="Calibri" w:hAnsi="Calibri"/>
          <w:lang w:val="uk-UA"/>
        </w:rPr>
      </w:r>
    </w:p>
    <w:sectPr>
      <w:footnotePr/>
      <w:endnotePr/>
      <w:type w:val="nextPage"/>
      <w:pgSz w:h="11906" w:orient="landscape" w:w="16838"/>
      <w:pgMar w:top="567" w:right="850" w:bottom="850" w:left="85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ntiqua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uk-UA" w:eastAsia="uk-UA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1"/>
    <w:link w:val="6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1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1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  <w:rPr>
      <w:rFonts w:ascii="Antiqua" w:hAnsi="Antiqua" w:eastAsia="Times New Roman"/>
      <w:color w:val="000000"/>
      <w:sz w:val="24"/>
      <w:lang w:val="en-US" w:eastAsia="ru-RU"/>
    </w:rPr>
  </w:style>
  <w:style w:type="paragraph" w:styleId="630">
    <w:name w:val="Heading 1"/>
    <w:basedOn w:val="629"/>
    <w:next w:val="629"/>
    <w:link w:val="634"/>
    <w:uiPriority w:val="99"/>
    <w:qFormat/>
    <w:pPr>
      <w:keepNext w:val="true"/>
      <w:pBdr/>
      <w:spacing/>
      <w:ind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val="uk-UA"/>
    </w:rPr>
  </w:style>
  <w:style w:type="character" w:styleId="631" w:default="1">
    <w:name w:val="Default Paragraph Font"/>
    <w:uiPriority w:val="1"/>
    <w:semiHidden/>
    <w:unhideWhenUsed/>
    <w:pPr>
      <w:pBdr/>
      <w:spacing/>
      <w:ind/>
    </w:pPr>
  </w:style>
  <w:style w:type="table" w:styleId="63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3" w:default="1">
    <w:name w:val="No List"/>
    <w:uiPriority w:val="99"/>
    <w:semiHidden/>
    <w:unhideWhenUsed/>
    <w:pPr>
      <w:pBdr/>
      <w:spacing/>
      <w:ind/>
    </w:pPr>
  </w:style>
  <w:style w:type="character" w:styleId="634" w:customStyle="1">
    <w:name w:val="Заголовок 1 Знак"/>
    <w:link w:val="630"/>
    <w:uiPriority w:val="99"/>
    <w:pPr>
      <w:pBdr/>
      <w:spacing/>
      <w:ind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635" w:customStyle="1">
    <w:name w:val="Знак Знак Знак Знак"/>
    <w:basedOn w:val="629"/>
    <w:uiPriority w:val="99"/>
    <w:pPr>
      <w:pBdr/>
      <w:spacing/>
      <w:ind/>
    </w:pPr>
    <w:rPr>
      <w:rFonts w:ascii="Verdana" w:hAnsi="Verdana" w:cs="Verdana"/>
      <w:color w:val="auto"/>
      <w:sz w:val="20"/>
      <w:lang w:eastAsia="en-US"/>
    </w:rPr>
  </w:style>
  <w:style w:type="paragraph" w:styleId="636" w:customStyle="1">
    <w:name w:val="Знак Знак Знак Знак2"/>
    <w:basedOn w:val="629"/>
    <w:uiPriority w:val="99"/>
    <w:pPr>
      <w:pBdr/>
      <w:spacing/>
      <w:ind/>
    </w:pPr>
    <w:rPr>
      <w:rFonts w:ascii="Verdana" w:hAnsi="Verdana" w:cs="Verdana"/>
      <w:color w:val="auto"/>
      <w:sz w:val="20"/>
      <w:lang w:eastAsia="en-US"/>
    </w:rPr>
  </w:style>
  <w:style w:type="paragraph" w:styleId="637" w:customStyle="1">
    <w:name w:val="Default"/>
    <w:uiPriority w:val="99"/>
    <w:pPr>
      <w:pBdr/>
      <w:spacing/>
      <w:ind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638" w:customStyle="1">
    <w:name w:val="Знак Знак Знак Знак1"/>
    <w:basedOn w:val="629"/>
    <w:uiPriority w:val="99"/>
    <w:pPr>
      <w:pBdr/>
      <w:spacing/>
      <w:ind/>
    </w:pPr>
    <w:rPr>
      <w:rFonts w:ascii="Verdana" w:hAnsi="Verdana" w:cs="Verdana"/>
      <w:color w:val="auto"/>
      <w:sz w:val="2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Anonymous</cp:lastModifiedBy>
  <cp:revision>77</cp:revision>
  <dcterms:created xsi:type="dcterms:W3CDTF">2023-01-23T10:19:00Z</dcterms:created>
  <dcterms:modified xsi:type="dcterms:W3CDTF">2025-01-21T13:00:07Z</dcterms:modified>
</cp:coreProperties>
</file>